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EA" w:rsidRDefault="00591BEA" w:rsidP="00591BEA">
      <w:pPr>
        <w:jc w:val="center"/>
      </w:pPr>
      <w:r>
        <w:rPr>
          <w:noProof/>
        </w:rPr>
        <w:drawing>
          <wp:inline distT="0" distB="0" distL="0" distR="0">
            <wp:extent cx="3505200" cy="1257300"/>
            <wp:effectExtent l="0" t="0" r="0" b="0"/>
            <wp:docPr id="1" name="Picture 1" descr="wjmens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jmenssocc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EA" w:rsidRDefault="00591BEA" w:rsidP="00591BEA">
      <w:pPr>
        <w:jc w:val="center"/>
        <w:rPr>
          <w:rFonts w:ascii="Rockwell Extra Bold" w:hAnsi="Rockwell Extra Bold"/>
          <w:i/>
          <w:iCs/>
          <w:color w:val="CC3300"/>
          <w:sz w:val="28"/>
          <w:szCs w:val="28"/>
        </w:rPr>
      </w:pPr>
      <w:r>
        <w:rPr>
          <w:rFonts w:ascii="Rockwell Extra Bold" w:hAnsi="Rockwell Extra Bold"/>
          <w:i/>
          <w:iCs/>
          <w:color w:val="CC3300"/>
          <w:sz w:val="28"/>
          <w:szCs w:val="28"/>
        </w:rPr>
        <w:t xml:space="preserve">2008 </w:t>
      </w:r>
      <w:r>
        <w:rPr>
          <w:rFonts w:ascii="Rockwell Extra Bold" w:hAnsi="Rockwell Extra Bold"/>
          <w:i/>
          <w:iCs/>
          <w:sz w:val="28"/>
          <w:szCs w:val="28"/>
        </w:rPr>
        <w:t>*</w:t>
      </w:r>
      <w:r>
        <w:rPr>
          <w:rFonts w:ascii="Rockwell Extra Bold" w:hAnsi="Rockwell Extra Bold"/>
          <w:i/>
          <w:iCs/>
          <w:color w:val="CC3300"/>
          <w:sz w:val="28"/>
          <w:szCs w:val="28"/>
        </w:rPr>
        <w:t xml:space="preserve"> 2009 </w:t>
      </w:r>
      <w:r>
        <w:rPr>
          <w:rFonts w:ascii="Rockwell Extra Bold" w:hAnsi="Rockwell Extra Bold"/>
          <w:i/>
          <w:iCs/>
          <w:sz w:val="28"/>
          <w:szCs w:val="28"/>
        </w:rPr>
        <w:t>*</w:t>
      </w:r>
      <w:r>
        <w:rPr>
          <w:rFonts w:ascii="Rockwell Extra Bold" w:hAnsi="Rockwell Extra Bold"/>
          <w:i/>
          <w:iCs/>
          <w:color w:val="CC3300"/>
          <w:sz w:val="28"/>
          <w:szCs w:val="28"/>
        </w:rPr>
        <w:t xml:space="preserve"> 2010</w:t>
      </w:r>
    </w:p>
    <w:p w:rsidR="00591BEA" w:rsidRDefault="00591BEA" w:rsidP="00591BEA">
      <w:pPr>
        <w:jc w:val="center"/>
        <w:rPr>
          <w:rFonts w:ascii="Rockwell Extra Bold" w:hAnsi="Rockwell Extra Bold"/>
          <w:i/>
          <w:iCs/>
          <w:sz w:val="28"/>
          <w:szCs w:val="28"/>
        </w:rPr>
      </w:pPr>
      <w:r>
        <w:rPr>
          <w:rFonts w:ascii="Rockwell Extra Bold" w:hAnsi="Rockwell Extra Bold"/>
          <w:i/>
          <w:iCs/>
          <w:sz w:val="28"/>
          <w:szCs w:val="28"/>
        </w:rPr>
        <w:t xml:space="preserve">PAC Conference Champions </w:t>
      </w:r>
    </w:p>
    <w:p w:rsidR="00591BEA" w:rsidRDefault="00591BEA" w:rsidP="00591BEA">
      <w:pPr>
        <w:jc w:val="center"/>
        <w:rPr>
          <w:rFonts w:ascii="Rockwell Extra Bold" w:hAnsi="Rockwell Extra Bold"/>
          <w:i/>
          <w:iCs/>
          <w:color w:val="CC3300"/>
          <w:sz w:val="28"/>
          <w:szCs w:val="28"/>
        </w:rPr>
      </w:pPr>
      <w:r>
        <w:rPr>
          <w:rFonts w:ascii="Rockwell Extra Bold" w:hAnsi="Rockwell Extra Bold"/>
          <w:i/>
          <w:iCs/>
          <w:color w:val="CC3300"/>
          <w:sz w:val="28"/>
          <w:szCs w:val="28"/>
        </w:rPr>
        <w:t xml:space="preserve">NCAA Tournament Participants </w:t>
      </w:r>
    </w:p>
    <w:p w:rsidR="00970792" w:rsidRDefault="00970792">
      <w:bookmarkStart w:id="0" w:name="_GoBack"/>
      <w:bookmarkEnd w:id="0"/>
    </w:p>
    <w:sectPr w:rsidR="00970792" w:rsidSect="003E2943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A"/>
    <w:rsid w:val="003E2943"/>
    <w:rsid w:val="00591BEA"/>
    <w:rsid w:val="009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Jefferson College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&amp; Technology Services</dc:creator>
  <cp:keywords/>
  <dc:description/>
  <cp:lastModifiedBy>Information &amp; Technology Services</cp:lastModifiedBy>
  <cp:revision>1</cp:revision>
  <dcterms:created xsi:type="dcterms:W3CDTF">2011-07-29T19:10:00Z</dcterms:created>
  <dcterms:modified xsi:type="dcterms:W3CDTF">2011-07-29T19:10:00Z</dcterms:modified>
</cp:coreProperties>
</file>